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Anti -wrinkle  Procedures – Potential Complications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Minor Side Effects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For most patients, any side effects are temporary and limited to the injection site.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You may experience a mild headache after treatment. Paracetamol may be taken for pain relief.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Mild tenderness and/or bruising at the injection site may occur – this is common due to the use of needles and generally nothing to worry about. Contact your treatment provider if you have any concerns.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Rare Side Effects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The following signs and symptoms are rare and are not considered a normal reaction to your anti-wrinkle treatment. Please contact your clinic immediately if you experience any of the below, so that your treatment provider can organise a review.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Ptosis (drooping) of the eyelid, eyebrow or lower face.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Prolonged redness, swelling and/or heat at the injection site.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Prolonged itching or burning to the treated area.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Extensive bruising or swelling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Double, blurred or altered vision.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Difficulty swallowing or eating.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Contact Dr Nelly Zahedi at Kendall Cosmetics if you experience any unexpected results or if you have any questions regarding your treatment on 9499 – 2000.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ptos" w:cs="Aptos" w:eastAsia="Aptos" w:hAnsi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GB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922C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922C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922C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922C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922C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922C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922C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922C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922C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922C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922C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922C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922C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922C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922C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922C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922C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922C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922C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922C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922C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922C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922C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922C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922C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922C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922C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922C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922C5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vDkN+fjuh2eOJ1M+MwDwD5BdMA==">CgMxLjA4AHIhMVlPY3pCZXhxWE52SlNiNmFNQTFlcUdXS21HSWRCenNF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2024-03-25T04:21:00Z</dcterms:created>
  <dc:creator>Office Manager</dc:creator>
</cp:coreProperties>
</file>